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18" w:rsidRPr="00502F31" w:rsidRDefault="002B1D18">
      <w:pPr>
        <w:shd w:val="clear" w:color="auto" w:fill="FFFFFF"/>
        <w:ind w:left="24"/>
        <w:jc w:val="center"/>
        <w:rPr>
          <w:lang w:val="en-US"/>
        </w:rPr>
      </w:pPr>
      <w:bookmarkStart w:id="0" w:name="_GoBack"/>
      <w:bookmarkEnd w:id="0"/>
      <w:r w:rsidRPr="00502F31">
        <w:rPr>
          <w:b/>
          <w:bCs/>
          <w:color w:val="000000"/>
          <w:spacing w:val="-1"/>
          <w:sz w:val="36"/>
          <w:szCs w:val="36"/>
          <w:lang w:val="en-US"/>
        </w:rPr>
        <w:t>FAX INSTRUCTIVO</w:t>
      </w:r>
    </w:p>
    <w:p w:rsidR="002B1D18" w:rsidRPr="00502F31" w:rsidRDefault="002B1D18">
      <w:pPr>
        <w:shd w:val="clear" w:color="auto" w:fill="FFFFFF"/>
        <w:spacing w:before="29"/>
        <w:ind w:left="14"/>
        <w:jc w:val="center"/>
        <w:rPr>
          <w:lang w:val="en-US"/>
        </w:rPr>
      </w:pPr>
      <w:r w:rsidRPr="00502F31">
        <w:rPr>
          <w:b/>
          <w:bCs/>
          <w:color w:val="000000"/>
          <w:sz w:val="24"/>
          <w:szCs w:val="24"/>
          <w:u w:val="single"/>
          <w:lang w:val="en-US"/>
        </w:rPr>
        <w:t>AN-GEGPC-F-035/2012</w:t>
      </w:r>
    </w:p>
    <w:p w:rsidR="002B1D18" w:rsidRDefault="002B1D18">
      <w:pPr>
        <w:shd w:val="clear" w:color="auto" w:fill="FFFFFF"/>
        <w:spacing w:before="187" w:line="269" w:lineRule="exact"/>
        <w:ind w:left="2510"/>
      </w:pPr>
      <w:r>
        <w:rPr>
          <w:b/>
          <w:bCs/>
          <w:color w:val="000000"/>
          <w:sz w:val="24"/>
          <w:szCs w:val="24"/>
          <w:lang w:val="es-ES_tradnl"/>
        </w:rPr>
        <w:t>A/To:       Gerencias Regionales</w:t>
      </w:r>
    </w:p>
    <w:p w:rsidR="002B1D18" w:rsidRDefault="002B1D18">
      <w:pPr>
        <w:shd w:val="clear" w:color="auto" w:fill="FFFFFF"/>
        <w:spacing w:line="269" w:lineRule="exact"/>
        <w:ind w:left="3571"/>
      </w:pPr>
      <w:r>
        <w:rPr>
          <w:b/>
          <w:bCs/>
          <w:color w:val="000000"/>
          <w:sz w:val="24"/>
          <w:szCs w:val="24"/>
          <w:lang w:val="es-ES_tradnl"/>
        </w:rPr>
        <w:t>Administraciones de Aduana</w:t>
      </w:r>
    </w:p>
    <w:p w:rsidR="002B1D18" w:rsidRDefault="002B1D18">
      <w:pPr>
        <w:shd w:val="clear" w:color="auto" w:fill="FFFFFF"/>
        <w:spacing w:line="269" w:lineRule="exact"/>
        <w:ind w:left="3571"/>
      </w:pPr>
      <w:r>
        <w:rPr>
          <w:b/>
          <w:bCs/>
          <w:color w:val="000000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ámara Nacional de Despachantes de Aduana</w:t>
      </w:r>
    </w:p>
    <w:p w:rsidR="002B1D18" w:rsidRDefault="002B1D18">
      <w:pPr>
        <w:shd w:val="clear" w:color="auto" w:fill="FFFFFF"/>
        <w:spacing w:line="269" w:lineRule="exact"/>
        <w:ind w:left="3571"/>
      </w:pPr>
      <w:r>
        <w:rPr>
          <w:b/>
          <w:bCs/>
          <w:color w:val="000000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ámara Nacional de Industria</w:t>
      </w:r>
    </w:p>
    <w:p w:rsidR="002B1D18" w:rsidRDefault="002B1D18">
      <w:pPr>
        <w:shd w:val="clear" w:color="auto" w:fill="FFFFFF"/>
        <w:spacing w:before="5" w:line="269" w:lineRule="exact"/>
        <w:ind w:left="3566"/>
      </w:pPr>
      <w:r>
        <w:rPr>
          <w:b/>
          <w:bCs/>
          <w:color w:val="000000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ámara Nacional de Comercio</w:t>
      </w:r>
    </w:p>
    <w:p w:rsidR="002B1D18" w:rsidRDefault="002B1D18">
      <w:pPr>
        <w:shd w:val="clear" w:color="auto" w:fill="FFFFFF"/>
        <w:spacing w:line="269" w:lineRule="exact"/>
        <w:ind w:left="3571"/>
      </w:pPr>
      <w:r>
        <w:rPr>
          <w:b/>
          <w:bCs/>
          <w:color w:val="000000"/>
          <w:sz w:val="24"/>
          <w:szCs w:val="24"/>
          <w:lang w:val="es-ES_tradnl"/>
        </w:rPr>
        <w:t>Operadores de comercio exterior</w:t>
      </w:r>
    </w:p>
    <w:p w:rsidR="00502F31" w:rsidRDefault="002B1D18" w:rsidP="00502F31">
      <w:pPr>
        <w:shd w:val="clear" w:color="auto" w:fill="FFFFFF"/>
        <w:ind w:left="3557" w:right="506" w:hanging="1450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>
        <w:rPr>
          <w:b/>
          <w:bCs/>
          <w:color w:val="000000"/>
          <w:spacing w:val="-1"/>
          <w:sz w:val="24"/>
          <w:szCs w:val="24"/>
          <w:lang w:val="es-ES_tradnl"/>
        </w:rPr>
        <w:t xml:space="preserve">De/From:       </w:t>
      </w:r>
      <w:r>
        <w:rPr>
          <w:color w:val="000000"/>
          <w:spacing w:val="-1"/>
          <w:sz w:val="24"/>
          <w:szCs w:val="24"/>
          <w:lang w:val="es-ES_tradnl"/>
        </w:rPr>
        <w:t>Abog. Alberto Antonio Pozo Pe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>ñaranda</w:t>
      </w:r>
    </w:p>
    <w:p w:rsidR="00502F31" w:rsidRDefault="002B1D18" w:rsidP="00502F31">
      <w:pPr>
        <w:shd w:val="clear" w:color="auto" w:fill="FFFFFF"/>
        <w:ind w:left="3557" w:right="1382" w:hanging="1450"/>
        <w:rPr>
          <w:rFonts w:eastAsia="Times New Roman"/>
          <w:b/>
          <w:bCs/>
          <w:color w:val="000000"/>
          <w:sz w:val="24"/>
          <w:szCs w:val="24"/>
          <w:lang w:val="es-ES_tradnl"/>
        </w:rPr>
      </w:pP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</w:t>
      </w:r>
      <w:r w:rsidR="00502F31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              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GERENTE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GENERAL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a.i. </w:t>
      </w:r>
    </w:p>
    <w:p w:rsidR="002B1D18" w:rsidRDefault="00502F31" w:rsidP="00502F31">
      <w:pPr>
        <w:shd w:val="clear" w:color="auto" w:fill="FFFFFF"/>
        <w:ind w:left="3557" w:right="223" w:hanging="1450"/>
      </w:pPr>
      <w:r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                </w:t>
      </w:r>
      <w:r w:rsidR="002B1D18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ADUANA NACIONAL DE 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>B</w:t>
      </w:r>
      <w:r w:rsidR="002B1D18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>OLIVIA</w:t>
      </w:r>
    </w:p>
    <w:p w:rsidR="002B1D18" w:rsidRDefault="002B1D18">
      <w:pPr>
        <w:shd w:val="clear" w:color="auto" w:fill="FFFFFF"/>
        <w:spacing w:before="187" w:line="264" w:lineRule="exact"/>
        <w:ind w:left="3562" w:hanging="1022"/>
      </w:pPr>
      <w:r>
        <w:rPr>
          <w:b/>
          <w:bCs/>
          <w:color w:val="000000"/>
          <w:sz w:val="24"/>
          <w:szCs w:val="24"/>
          <w:lang w:val="es-ES_tradnl"/>
        </w:rPr>
        <w:t>Ref.:       Aclaraciones a Circular N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° 116/2009 (RD 01-010-09)</w:t>
      </w:r>
    </w:p>
    <w:p w:rsidR="002B1D18" w:rsidRDefault="002B1D18">
      <w:pPr>
        <w:shd w:val="clear" w:color="auto" w:fill="FFFFFF"/>
        <w:spacing w:before="187"/>
        <w:ind w:left="1867"/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>Fecha/Date:       La Paz,       - 3 OCT 2012</w:t>
      </w:r>
    </w:p>
    <w:p w:rsidR="002B1D18" w:rsidRDefault="002B1D18">
      <w:pPr>
        <w:shd w:val="clear" w:color="auto" w:fill="FFFFFF"/>
        <w:spacing w:before="163"/>
        <w:ind w:left="1574"/>
      </w:pPr>
      <w:r>
        <w:rPr>
          <w:b/>
          <w:bCs/>
          <w:color w:val="000000"/>
          <w:sz w:val="24"/>
          <w:szCs w:val="24"/>
          <w:lang w:val="es-ES_tradnl"/>
        </w:rPr>
        <w:t>N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° de Páginas:       2 (dos)</w:t>
      </w:r>
    </w:p>
    <w:p w:rsidR="002B1D18" w:rsidRDefault="002B1D18">
      <w:pPr>
        <w:shd w:val="clear" w:color="auto" w:fill="FFFFFF"/>
        <w:spacing w:before="178"/>
        <w:ind w:left="1157"/>
      </w:pPr>
      <w:r>
        <w:rPr>
          <w:b/>
          <w:bCs/>
          <w:color w:val="000000"/>
          <w:sz w:val="14"/>
          <w:szCs w:val="14"/>
          <w:lang w:val="es-ES_tradnl"/>
        </w:rPr>
        <w:t xml:space="preserve">SI USTED NO RECIBE TODAS LAS PAGINAS </w:t>
      </w:r>
      <w:r>
        <w:rPr>
          <w:color w:val="000000"/>
          <w:sz w:val="14"/>
          <w:szCs w:val="14"/>
          <w:lang w:val="es-ES_tradnl"/>
        </w:rPr>
        <w:t>O NO SON LEGIBLES POR FAVOR CONTACTE A: 2128008 INT 1221 1224</w:t>
      </w:r>
    </w:p>
    <w:p w:rsidR="002B1D18" w:rsidRDefault="002B1D18">
      <w:pPr>
        <w:shd w:val="clear" w:color="auto" w:fill="FFFFFF"/>
        <w:spacing w:before="355"/>
        <w:ind w:left="5"/>
      </w:pPr>
      <w:r>
        <w:rPr>
          <w:color w:val="000000"/>
          <w:spacing w:val="-1"/>
          <w:sz w:val="24"/>
          <w:szCs w:val="24"/>
          <w:lang w:val="es-ES_tradnl"/>
        </w:rPr>
        <w:t>De mi consideraci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>ón:</w:t>
      </w:r>
    </w:p>
    <w:p w:rsidR="002B1D18" w:rsidRDefault="002B1D18">
      <w:pPr>
        <w:shd w:val="clear" w:color="auto" w:fill="FFFFFF"/>
        <w:spacing w:before="168" w:line="274" w:lineRule="exact"/>
        <w:jc w:val="both"/>
      </w:pPr>
      <w:r>
        <w:rPr>
          <w:color w:val="000000"/>
          <w:sz w:val="24"/>
          <w:szCs w:val="24"/>
          <w:lang w:val="es-ES_tradnl"/>
        </w:rPr>
        <w:t>En atenci</w:t>
      </w:r>
      <w:r>
        <w:rPr>
          <w:rFonts w:eastAsia="Times New Roman"/>
          <w:color w:val="000000"/>
          <w:sz w:val="24"/>
          <w:szCs w:val="24"/>
          <w:lang w:val="es-ES_tradnl"/>
        </w:rPr>
        <w:t>ón a consultas efectuadas a la Aduana Nacional sobre la Resolución de Directorio RD 01-010-09 de 21/05/2009 que aprueba el instructivo de llenado de la Declaración Andina del Valor (DAV), y a objeto de aclarar los conceptos de las casillas 115,118,121 -116,119, 122 y 117, 120 y 123 de la DAV corresponde señalar lo siguiente:</w:t>
      </w:r>
    </w:p>
    <w:p w:rsidR="002B1D18" w:rsidRDefault="002B1D18">
      <w:pPr>
        <w:shd w:val="clear" w:color="auto" w:fill="FFFFFF"/>
        <w:spacing w:before="182"/>
      </w:pPr>
      <w:r>
        <w:rPr>
          <w:b/>
          <w:bCs/>
          <w:color w:val="000000"/>
          <w:sz w:val="24"/>
          <w:szCs w:val="24"/>
          <w:lang w:val="es-ES_tradnl"/>
        </w:rPr>
        <w:t>Llenado de la DAV en d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ólares estadounidenses</w:t>
      </w:r>
    </w:p>
    <w:p w:rsidR="002B1D18" w:rsidRDefault="002B1D18">
      <w:pPr>
        <w:shd w:val="clear" w:color="auto" w:fill="FFFFFF"/>
        <w:spacing w:before="149" w:line="269" w:lineRule="exact"/>
        <w:ind w:left="710" w:right="10" w:hanging="341"/>
        <w:jc w:val="both"/>
      </w:pPr>
      <w:r>
        <w:rPr>
          <w:color w:val="000000"/>
          <w:sz w:val="24"/>
          <w:szCs w:val="24"/>
          <w:lang w:val="es-ES_tradnl"/>
        </w:rPr>
        <w:t>1) La Declaraci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ón Andina del Valor (DAV) deberá ser llenada en dólares estadounidenses, de acuerdo a lo establecido en la RD 01-010-09 de 21/05/09 (Circular N° 116/2009) en su Numeral 5.4 "Forma de Presentación", párrafo tercero que señala: </w:t>
      </w:r>
      <w:r>
        <w:rPr>
          <w:rFonts w:eastAsia="Times New Roman"/>
          <w:i/>
          <w:iCs/>
          <w:color w:val="000000"/>
          <w:sz w:val="24"/>
          <w:szCs w:val="24"/>
          <w:lang w:val="es-ES_tradnl"/>
        </w:rPr>
        <w:t xml:space="preserve">"El Tipo de Cambio de monedas extranjeras </w:t>
      </w:r>
      <w:r>
        <w:rPr>
          <w:rFonts w:eastAsia="Times New Roman"/>
          <w:i/>
          <w:iCs/>
          <w:color w:val="000000"/>
          <w:sz w:val="24"/>
          <w:szCs w:val="24"/>
          <w:u w:val="single"/>
          <w:lang w:val="es-ES_tradnl"/>
        </w:rPr>
        <w:t>diferentes a la del Dólar Estadounidense</w:t>
      </w:r>
      <w:r>
        <w:rPr>
          <w:rFonts w:eastAsia="Times New Roman"/>
          <w:i/>
          <w:iCs/>
          <w:color w:val="000000"/>
          <w:sz w:val="24"/>
          <w:szCs w:val="24"/>
          <w:lang w:val="es-ES_tradnl"/>
        </w:rPr>
        <w:t xml:space="preserve"> se llenará con tantos decimales tuviera la Tabla de Cotizaciones del Banco Central de Bolivia... "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(Pág. 5) y lo dispuesto en el Acápite // </w:t>
      </w:r>
      <w:r>
        <w:rPr>
          <w:rFonts w:eastAsia="Times New Roman"/>
          <w:i/>
          <w:iCs/>
          <w:color w:val="000000"/>
          <w:sz w:val="24"/>
          <w:szCs w:val="24"/>
          <w:lang w:val="es-ES_tradnl"/>
        </w:rPr>
        <w:t xml:space="preserve">"DESCRIPCIÓN DETALLADA DÉLA MERCANCÍA Y DETERMINACIÓN DEL VALOR EN ADUANA "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de la misma Circular, que señala: </w:t>
      </w:r>
      <w:r>
        <w:rPr>
          <w:rFonts w:eastAsia="Times New Roman"/>
          <w:i/>
          <w:iCs/>
          <w:color w:val="000000"/>
          <w:sz w:val="24"/>
          <w:szCs w:val="24"/>
          <w:lang w:val="es-ES_tradnl"/>
        </w:rPr>
        <w:t xml:space="preserve">"...Los cálculos previstos en la parte </w:t>
      </w:r>
      <w:r w:rsidRPr="00502F31">
        <w:rPr>
          <w:rFonts w:eastAsia="Times New Roman"/>
          <w:i/>
          <w:iCs/>
          <w:color w:val="000000"/>
          <w:sz w:val="24"/>
          <w:szCs w:val="24"/>
        </w:rPr>
        <w:t xml:space="preserve">II </w:t>
      </w:r>
      <w:r>
        <w:rPr>
          <w:rFonts w:eastAsia="Times New Roman"/>
          <w:i/>
          <w:iCs/>
          <w:color w:val="000000"/>
          <w:sz w:val="24"/>
          <w:szCs w:val="24"/>
          <w:lang w:val="es-ES_tradnl"/>
        </w:rPr>
        <w:t xml:space="preserve">y la determinación del valor en aduana, </w:t>
      </w:r>
      <w:r>
        <w:rPr>
          <w:rFonts w:eastAsia="Times New Roman"/>
          <w:i/>
          <w:iCs/>
          <w:color w:val="000000"/>
          <w:sz w:val="24"/>
          <w:szCs w:val="24"/>
          <w:u w:val="single"/>
          <w:lang w:val="es-ES_tradnl"/>
        </w:rPr>
        <w:t>se harán en dólares estadounidenses (USD)</w:t>
      </w:r>
      <w:r>
        <w:rPr>
          <w:rFonts w:eastAsia="Times New Roman"/>
          <w:i/>
          <w:iCs/>
          <w:color w:val="000000"/>
          <w:sz w:val="24"/>
          <w:szCs w:val="24"/>
          <w:lang w:val="es-ES_tradnl"/>
        </w:rPr>
        <w:t xml:space="preserve"> </w:t>
      </w:r>
      <w:r>
        <w:rPr>
          <w:rFonts w:eastAsia="Times New Roman"/>
          <w:color w:val="000000"/>
          <w:sz w:val="24"/>
          <w:szCs w:val="24"/>
          <w:lang w:val="es-ES_tradnl"/>
        </w:rPr>
        <w:t>".(Pág. 17), a excepción de la casilla 38.</w:t>
      </w:r>
    </w:p>
    <w:p w:rsidR="002B1D18" w:rsidRDefault="002B1D18">
      <w:pPr>
        <w:shd w:val="clear" w:color="auto" w:fill="FFFFFF"/>
        <w:spacing w:before="149" w:line="269" w:lineRule="exact"/>
        <w:ind w:left="710" w:right="10" w:hanging="341"/>
        <w:jc w:val="both"/>
        <w:sectPr w:rsidR="002B1D18">
          <w:type w:val="continuous"/>
          <w:pgSz w:w="12264" w:h="15878"/>
          <w:pgMar w:top="3134" w:right="1666" w:bottom="2026" w:left="1728" w:header="720" w:footer="720" w:gutter="0"/>
          <w:cols w:space="60"/>
          <w:noEndnote/>
        </w:sectPr>
      </w:pPr>
    </w:p>
    <w:p w:rsidR="002B1D18" w:rsidRDefault="002B1D18">
      <w:pPr>
        <w:shd w:val="clear" w:color="auto" w:fill="FFFFFF"/>
        <w:ind w:left="10"/>
      </w:pPr>
      <w:r>
        <w:rPr>
          <w:b/>
          <w:bCs/>
          <w:color w:val="000000"/>
          <w:sz w:val="24"/>
          <w:szCs w:val="24"/>
          <w:lang w:val="es-ES_tradnl"/>
        </w:rPr>
        <w:lastRenderedPageBreak/>
        <w:t>En lo referente a casillas</w:t>
      </w:r>
    </w:p>
    <w:p w:rsidR="002B1D18" w:rsidRDefault="002B1D18">
      <w:pPr>
        <w:shd w:val="clear" w:color="auto" w:fill="FFFFFF"/>
        <w:tabs>
          <w:tab w:val="left" w:pos="706"/>
        </w:tabs>
        <w:spacing w:before="149"/>
        <w:ind w:left="360"/>
      </w:pPr>
      <w:r>
        <w:rPr>
          <w:color w:val="000000"/>
          <w:spacing w:val="-6"/>
          <w:sz w:val="24"/>
          <w:szCs w:val="24"/>
          <w:lang w:val="es-ES_tradnl"/>
        </w:rPr>
        <w:t>2)</w:t>
      </w:r>
      <w:r>
        <w:rPr>
          <w:color w:val="000000"/>
          <w:sz w:val="24"/>
          <w:szCs w:val="24"/>
          <w:lang w:val="es-ES_tradnl"/>
        </w:rPr>
        <w:tab/>
        <w:t xml:space="preserve">En las casillas </w:t>
      </w:r>
      <w:r>
        <w:rPr>
          <w:b/>
          <w:bCs/>
          <w:color w:val="000000"/>
          <w:sz w:val="24"/>
          <w:szCs w:val="24"/>
          <w:u w:val="single"/>
          <w:lang w:val="es-ES_tradnl"/>
        </w:rPr>
        <w:t>115</w:t>
      </w:r>
      <w:r>
        <w:rPr>
          <w:b/>
          <w:bCs/>
          <w:color w:val="000000"/>
          <w:sz w:val="24"/>
          <w:szCs w:val="24"/>
          <w:lang w:val="es-ES_tradnl"/>
        </w:rPr>
        <w:t xml:space="preserve">. 118 </w:t>
      </w:r>
      <w:r>
        <w:rPr>
          <w:color w:val="000000"/>
          <w:sz w:val="24"/>
          <w:szCs w:val="24"/>
          <w:lang w:val="es-ES_tradnl"/>
        </w:rPr>
        <w:t xml:space="preserve">y </w:t>
      </w:r>
      <w:r>
        <w:rPr>
          <w:b/>
          <w:bCs/>
          <w:color w:val="000000"/>
          <w:sz w:val="24"/>
          <w:szCs w:val="24"/>
          <w:lang w:val="es-ES_tradnl"/>
        </w:rPr>
        <w:t>121. 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ódigo de moneda de negociación de las</w:t>
      </w:r>
    </w:p>
    <w:p w:rsidR="002B1D18" w:rsidRDefault="002B1D18">
      <w:pPr>
        <w:shd w:val="clear" w:color="auto" w:fill="FFFFFF"/>
        <w:spacing w:line="274" w:lineRule="exact"/>
        <w:ind w:left="730"/>
        <w:jc w:val="both"/>
      </w:pPr>
      <w:r>
        <w:rPr>
          <w:b/>
          <w:bCs/>
          <w:color w:val="000000"/>
          <w:sz w:val="24"/>
          <w:szCs w:val="24"/>
          <w:lang w:val="es-ES_tradnl"/>
        </w:rPr>
        <w:t>mercanc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ías,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se registran </w:t>
      </w:r>
      <w:r>
        <w:rPr>
          <w:rFonts w:eastAsia="Times New Roman"/>
          <w:i/>
          <w:iCs/>
          <w:color w:val="000000"/>
          <w:sz w:val="24"/>
          <w:szCs w:val="24"/>
          <w:lang w:val="es-ES_tradnl"/>
        </w:rPr>
        <w:t xml:space="preserve">"el código de la moneda en la que se realizó la </w:t>
      </w:r>
      <w:r>
        <w:rPr>
          <w:rFonts w:eastAsia="Times New Roman"/>
          <w:i/>
          <w:iCs/>
          <w:color w:val="000000"/>
          <w:sz w:val="24"/>
          <w:szCs w:val="24"/>
          <w:u w:val="single"/>
          <w:lang w:val="es-ES_tradnl"/>
        </w:rPr>
        <w:t>negociación de la mercancía</w:t>
      </w:r>
      <w:r>
        <w:rPr>
          <w:rFonts w:eastAsia="Times New Roman"/>
          <w:i/>
          <w:iCs/>
          <w:color w:val="000000"/>
          <w:sz w:val="24"/>
          <w:szCs w:val="24"/>
          <w:lang w:val="es-ES_tradnl"/>
        </w:rPr>
        <w:t xml:space="preserve"> o de cualquiera de los elementos del valor en aduana, de acuerdo a la Tabla 3 del Anexo </w:t>
      </w:r>
      <w:r w:rsidRPr="00502F31">
        <w:rPr>
          <w:rFonts w:eastAsia="Times New Roman"/>
          <w:i/>
          <w:iCs/>
          <w:color w:val="000000"/>
          <w:sz w:val="24"/>
          <w:szCs w:val="24"/>
        </w:rPr>
        <w:t xml:space="preserve">IV </w:t>
      </w:r>
      <w:r>
        <w:rPr>
          <w:rFonts w:eastAsia="Times New Roman"/>
          <w:i/>
          <w:iCs/>
          <w:color w:val="000000"/>
          <w:sz w:val="24"/>
          <w:szCs w:val="24"/>
          <w:lang w:val="es-ES_tradnl"/>
        </w:rPr>
        <w:t xml:space="preserve">de la Resolución 1112". </w:t>
      </w:r>
      <w:r>
        <w:rPr>
          <w:rFonts w:eastAsia="Times New Roman"/>
          <w:color w:val="000000"/>
          <w:sz w:val="24"/>
          <w:szCs w:val="24"/>
          <w:lang w:val="es-ES_tradnl"/>
        </w:rPr>
        <w:t>Se aclara que este dato sólo será llenado en caso de que la negociación se hubiera realizado en moneda diferente al dólar estadounidense USD.</w:t>
      </w:r>
    </w:p>
    <w:p w:rsidR="002B1D18" w:rsidRDefault="002B1D18">
      <w:pPr>
        <w:shd w:val="clear" w:color="auto" w:fill="FFFFFF"/>
        <w:spacing w:before="173" w:line="269" w:lineRule="exact"/>
        <w:ind w:left="710" w:right="5"/>
        <w:jc w:val="both"/>
      </w:pPr>
      <w:r>
        <w:rPr>
          <w:color w:val="000000"/>
          <w:sz w:val="24"/>
          <w:szCs w:val="24"/>
          <w:lang w:val="es-ES_tradnl"/>
        </w:rPr>
        <w:t xml:space="preserve">Asimismo, se aclara que si los elementos del valor en aduana (Precio realmente </w:t>
      </w:r>
      <w:r>
        <w:rPr>
          <w:color w:val="000000"/>
          <w:spacing w:val="-1"/>
          <w:sz w:val="24"/>
          <w:szCs w:val="24"/>
          <w:lang w:val="es-ES_tradnl"/>
        </w:rPr>
        <w:t xml:space="preserve">pagado o por pagar, Gastos de Transporte y Seguro) fueron transados en una </w:t>
      </w:r>
      <w:r>
        <w:rPr>
          <w:color w:val="000000"/>
          <w:spacing w:val="-1"/>
          <w:sz w:val="24"/>
          <w:szCs w:val="24"/>
          <w:u w:val="single"/>
          <w:lang w:val="es-ES_tradnl"/>
        </w:rPr>
        <w:t xml:space="preserve">misma </w:t>
      </w:r>
      <w:r>
        <w:rPr>
          <w:color w:val="000000"/>
          <w:sz w:val="24"/>
          <w:szCs w:val="24"/>
          <w:u w:val="single"/>
          <w:lang w:val="es-ES_tradnl"/>
        </w:rPr>
        <w:t>moneda</w:t>
      </w:r>
      <w:r>
        <w:rPr>
          <w:color w:val="000000"/>
          <w:sz w:val="24"/>
          <w:szCs w:val="24"/>
          <w:lang w:val="es-ES_tradnl"/>
        </w:rPr>
        <w:t>, se llenar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á la casilla 115 con el respectivo código </w:t>
      </w:r>
      <w:r>
        <w:rPr>
          <w:rFonts w:eastAsia="Times New Roman"/>
          <w:color w:val="000000"/>
          <w:sz w:val="24"/>
          <w:szCs w:val="24"/>
          <w:u w:val="single"/>
          <w:lang w:val="es-ES_tradnl"/>
        </w:rPr>
        <w:t>dejando vacías las demás casillas.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 Ejemplo: Euros (EUR).</w:t>
      </w:r>
    </w:p>
    <w:p w:rsidR="002B1D18" w:rsidRDefault="002B1D18">
      <w:pPr>
        <w:shd w:val="clear" w:color="auto" w:fill="FFFFFF"/>
        <w:spacing w:line="274" w:lineRule="exact"/>
        <w:ind w:left="710" w:right="10"/>
        <w:jc w:val="both"/>
      </w:pPr>
      <w:r>
        <w:rPr>
          <w:color w:val="000000"/>
          <w:sz w:val="24"/>
          <w:szCs w:val="24"/>
          <w:lang w:val="es-ES_tradnl"/>
        </w:rPr>
        <w:t xml:space="preserve">Sin embargo; si cada cada elemento del valor en aduana fueron transados en </w:t>
      </w:r>
      <w:r>
        <w:rPr>
          <w:color w:val="000000"/>
          <w:sz w:val="24"/>
          <w:szCs w:val="24"/>
          <w:u w:val="single"/>
          <w:lang w:val="es-ES_tradnl"/>
        </w:rPr>
        <w:t>monedas diferentes</w:t>
      </w:r>
      <w:r>
        <w:rPr>
          <w:color w:val="000000"/>
          <w:sz w:val="24"/>
          <w:szCs w:val="24"/>
          <w:lang w:val="es-ES_tradnl"/>
        </w:rPr>
        <w:t>, se colocar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á la moneda de negociación en </w:t>
      </w:r>
      <w:r>
        <w:rPr>
          <w:rFonts w:eastAsia="Times New Roman"/>
          <w:color w:val="000000"/>
          <w:sz w:val="24"/>
          <w:szCs w:val="24"/>
          <w:u w:val="single"/>
          <w:lang w:val="es-ES_tradnl"/>
        </w:rPr>
        <w:t>cada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 casilla según el siguiente orden: 115-Precio realmente pagado o por pagar, 118- Gastos de Transporte y 121- Seguro.</w:t>
      </w:r>
    </w:p>
    <w:p w:rsidR="002B1D18" w:rsidRDefault="002B1D18" w:rsidP="00502F3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78" w:line="269" w:lineRule="exact"/>
        <w:ind w:left="706" w:right="10" w:hanging="346"/>
        <w:jc w:val="both"/>
        <w:rPr>
          <w:color w:val="000000"/>
          <w:spacing w:val="-9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 xml:space="preserve">En las casillas </w:t>
      </w:r>
      <w:r>
        <w:rPr>
          <w:b/>
          <w:bCs/>
          <w:color w:val="000000"/>
          <w:sz w:val="24"/>
          <w:szCs w:val="24"/>
          <w:u w:val="single"/>
          <w:lang w:val="es-ES_tradnl"/>
        </w:rPr>
        <w:t>116</w:t>
      </w:r>
      <w:r>
        <w:rPr>
          <w:b/>
          <w:bCs/>
          <w:color w:val="000000"/>
          <w:sz w:val="24"/>
          <w:szCs w:val="24"/>
          <w:lang w:val="es-ES_tradnl"/>
        </w:rPr>
        <w:t xml:space="preserve">, 119, 122. Tipo de cambio, </w:t>
      </w:r>
      <w:r>
        <w:rPr>
          <w:color w:val="000000"/>
          <w:sz w:val="24"/>
          <w:szCs w:val="24"/>
          <w:lang w:val="es-ES_tradnl"/>
        </w:rPr>
        <w:t xml:space="preserve">se registra el </w:t>
      </w:r>
      <w:r>
        <w:rPr>
          <w:color w:val="000000"/>
          <w:sz w:val="24"/>
          <w:szCs w:val="24"/>
          <w:u w:val="single"/>
          <w:lang w:val="es-ES_tradnl"/>
        </w:rPr>
        <w:t>tipo de cambio utilizado</w:t>
      </w:r>
      <w:r>
        <w:rPr>
          <w:color w:val="000000"/>
          <w:sz w:val="24"/>
          <w:szCs w:val="24"/>
          <w:lang w:val="es-ES_tradnl"/>
        </w:rPr>
        <w:t xml:space="preserve"> para </w:t>
      </w:r>
      <w:r>
        <w:rPr>
          <w:color w:val="000000"/>
          <w:sz w:val="24"/>
          <w:szCs w:val="24"/>
          <w:u w:val="single"/>
          <w:lang w:val="es-ES_tradnl"/>
        </w:rPr>
        <w:t>la conversi</w:t>
      </w:r>
      <w:r>
        <w:rPr>
          <w:rFonts w:eastAsia="Times New Roman"/>
          <w:color w:val="000000"/>
          <w:sz w:val="24"/>
          <w:szCs w:val="24"/>
          <w:u w:val="single"/>
          <w:lang w:val="es-ES_tradnl"/>
        </w:rPr>
        <w:t>ón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 de la moneda extranjera consignada en la Factura Comercial (que sea moneda distinta al dólar USD), </w:t>
      </w:r>
      <w:r>
        <w:rPr>
          <w:rFonts w:eastAsia="Times New Roman"/>
          <w:color w:val="000000"/>
          <w:sz w:val="24"/>
          <w:szCs w:val="24"/>
          <w:u w:val="single"/>
          <w:lang w:val="es-ES_tradnl"/>
        </w:rPr>
        <w:t>a dólares estadounidenses (USD)</w:t>
      </w:r>
      <w:r>
        <w:rPr>
          <w:rFonts w:eastAsia="Times New Roman"/>
          <w:color w:val="000000"/>
          <w:sz w:val="24"/>
          <w:szCs w:val="24"/>
          <w:lang w:val="es-ES_tradnl"/>
        </w:rPr>
        <w:t>. Si en cambio la negociación y los otros elementos del valor en aduana fueron convenidos en dólares estadounidenses, se deberá dejar en blanco.</w:t>
      </w:r>
    </w:p>
    <w:p w:rsidR="002B1D18" w:rsidRDefault="002B1D18" w:rsidP="00502F3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78" w:line="274" w:lineRule="exact"/>
        <w:ind w:left="706" w:right="10" w:hanging="346"/>
        <w:jc w:val="both"/>
        <w:rPr>
          <w:color w:val="000000"/>
          <w:spacing w:val="-5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 xml:space="preserve">Casillas </w:t>
      </w:r>
      <w:r>
        <w:rPr>
          <w:b/>
          <w:bCs/>
          <w:color w:val="000000"/>
          <w:sz w:val="24"/>
          <w:szCs w:val="24"/>
          <w:u w:val="single"/>
          <w:lang w:val="es-ES_tradnl"/>
        </w:rPr>
        <w:t>117</w:t>
      </w:r>
      <w:r>
        <w:rPr>
          <w:b/>
          <w:bCs/>
          <w:color w:val="000000"/>
          <w:sz w:val="24"/>
          <w:szCs w:val="24"/>
          <w:lang w:val="es-ES_tradnl"/>
        </w:rPr>
        <w:t xml:space="preserve">, 120 </w:t>
      </w:r>
      <w:r>
        <w:rPr>
          <w:color w:val="000000"/>
          <w:sz w:val="24"/>
          <w:szCs w:val="24"/>
          <w:lang w:val="es-ES_tradnl"/>
        </w:rPr>
        <w:t xml:space="preserve">y </w:t>
      </w:r>
      <w:r>
        <w:rPr>
          <w:b/>
          <w:bCs/>
          <w:color w:val="000000"/>
          <w:sz w:val="24"/>
          <w:szCs w:val="24"/>
          <w:lang w:val="es-ES_tradnl"/>
        </w:rPr>
        <w:t xml:space="preserve">123. </w:t>
      </w:r>
      <w:r>
        <w:rPr>
          <w:color w:val="000000"/>
          <w:sz w:val="24"/>
          <w:szCs w:val="24"/>
          <w:lang w:val="es-ES_tradnl"/>
        </w:rPr>
        <w:t>N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°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Casilla. </w:t>
      </w:r>
      <w:r>
        <w:rPr>
          <w:rFonts w:eastAsia="Times New Roman"/>
          <w:i/>
          <w:iCs/>
          <w:color w:val="000000"/>
          <w:sz w:val="24"/>
          <w:szCs w:val="24"/>
          <w:lang w:val="es-ES_tradnl"/>
        </w:rPr>
        <w:t xml:space="preserve">"Indicar el número de la casilla correspondiente al valor de ajuste para la cual utiliza el tipo de cambio, porque la negociación se realizó en moneda diferente a dólares estadounidenses".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Estas casillas son llenadas cuando la negociación se realizó </w:t>
      </w:r>
      <w:r>
        <w:rPr>
          <w:rFonts w:eastAsia="Times New Roman"/>
          <w:color w:val="000000"/>
          <w:sz w:val="24"/>
          <w:szCs w:val="24"/>
          <w:u w:val="single"/>
          <w:lang w:val="es-ES_tradnl"/>
        </w:rPr>
        <w:t>en moneda diferente a dólares estadounidenses.</w:t>
      </w:r>
    </w:p>
    <w:p w:rsidR="002B1D18" w:rsidRDefault="002B1D18">
      <w:pPr>
        <w:shd w:val="clear" w:color="auto" w:fill="FFFFFF"/>
        <w:tabs>
          <w:tab w:val="left" w:pos="8635"/>
        </w:tabs>
        <w:spacing w:before="187" w:line="264" w:lineRule="exact"/>
      </w:pPr>
      <w:r>
        <w:rPr>
          <w:color w:val="000000"/>
          <w:sz w:val="24"/>
          <w:szCs w:val="24"/>
          <w:lang w:val="es-ES_tradnl"/>
        </w:rPr>
        <w:t>Las   Gerencias   Regionales   y   Admini</w:t>
      </w:r>
      <w:r w:rsidR="00502F31">
        <w:rPr>
          <w:color w:val="000000"/>
          <w:sz w:val="24"/>
          <w:szCs w:val="24"/>
          <w:lang w:val="es-ES_tradnl"/>
        </w:rPr>
        <w:t xml:space="preserve">straciones de Aduana son </w:t>
      </w:r>
      <w:r>
        <w:rPr>
          <w:color w:val="000000"/>
          <w:sz w:val="24"/>
          <w:szCs w:val="24"/>
          <w:lang w:val="es-ES_tradnl"/>
        </w:rPr>
        <w:t>responsables del</w:t>
      </w:r>
      <w:r>
        <w:rPr>
          <w:color w:val="000000"/>
          <w:sz w:val="24"/>
          <w:szCs w:val="24"/>
          <w:lang w:val="es-ES_tradnl"/>
        </w:rPr>
        <w:br/>
      </w:r>
      <w:r>
        <w:rPr>
          <w:color w:val="000000"/>
          <w:spacing w:val="-1"/>
          <w:sz w:val="24"/>
          <w:szCs w:val="24"/>
          <w:lang w:val="es-ES_tradnl"/>
        </w:rPr>
        <w:t>cumplimiento y aplicaci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>ón correcta de la Resolución de Directorio RD 01-010-09.</w:t>
      </w:r>
    </w:p>
    <w:p w:rsidR="002B1D18" w:rsidRDefault="002B1D18">
      <w:pPr>
        <w:shd w:val="clear" w:color="auto" w:fill="FFFFFF"/>
        <w:tabs>
          <w:tab w:val="left" w:pos="6288"/>
          <w:tab w:val="left" w:pos="7397"/>
        </w:tabs>
        <w:spacing w:before="173"/>
        <w:ind w:left="5"/>
      </w:pPr>
      <w:r>
        <w:rPr>
          <w:color w:val="000000"/>
          <w:spacing w:val="-1"/>
          <w:sz w:val="24"/>
          <w:szCs w:val="24"/>
          <w:lang w:val="es-ES_tradnl"/>
        </w:rPr>
        <w:t>Con este motivo saludo a ustedes atentamente.</w:t>
      </w:r>
      <w:r>
        <w:rPr>
          <w:rFonts w:ascii="Arial" w:cs="Arial"/>
          <w:color w:val="000000"/>
          <w:sz w:val="24"/>
          <w:szCs w:val="24"/>
          <w:lang w:val="es-ES_tradnl"/>
        </w:rPr>
        <w:tab/>
      </w:r>
    </w:p>
    <w:sectPr w:rsidR="002B1D18">
      <w:pgSz w:w="12245" w:h="15869"/>
      <w:pgMar w:top="3106" w:right="1627" w:bottom="4046" w:left="17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BEC"/>
    <w:multiLevelType w:val="singleLevel"/>
    <w:tmpl w:val="DC8A3738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31"/>
    <w:rsid w:val="002B1D18"/>
    <w:rsid w:val="003A06E2"/>
    <w:rsid w:val="0050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2</cp:revision>
  <dcterms:created xsi:type="dcterms:W3CDTF">2017-05-05T16:03:00Z</dcterms:created>
  <dcterms:modified xsi:type="dcterms:W3CDTF">2017-05-05T16:03:00Z</dcterms:modified>
</cp:coreProperties>
</file>