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1C" w:rsidRPr="00114701" w:rsidRDefault="00F95C1C">
      <w:pPr>
        <w:shd w:val="clear" w:color="auto" w:fill="FFFFFF"/>
        <w:spacing w:line="389" w:lineRule="exact"/>
        <w:ind w:left="58"/>
        <w:jc w:val="center"/>
        <w:rPr>
          <w:lang w:val="en-US"/>
        </w:rPr>
      </w:pPr>
      <w:bookmarkStart w:id="0" w:name="_GoBack"/>
      <w:bookmarkEnd w:id="0"/>
      <w:r w:rsidRPr="00114701">
        <w:rPr>
          <w:b/>
          <w:bCs/>
          <w:color w:val="000000"/>
          <w:spacing w:val="-8"/>
          <w:sz w:val="44"/>
          <w:szCs w:val="44"/>
          <w:lang w:val="en-US"/>
        </w:rPr>
        <w:t>FAX INSTRUCTIVO</w:t>
      </w:r>
    </w:p>
    <w:p w:rsidR="00F95C1C" w:rsidRPr="00114701" w:rsidRDefault="00F95C1C">
      <w:pPr>
        <w:shd w:val="clear" w:color="auto" w:fill="FFFFFF"/>
        <w:ind w:left="43"/>
        <w:jc w:val="center"/>
        <w:rPr>
          <w:lang w:val="en-US"/>
        </w:rPr>
      </w:pPr>
      <w:r w:rsidRPr="00114701">
        <w:rPr>
          <w:b/>
          <w:bCs/>
          <w:color w:val="000000"/>
          <w:spacing w:val="-6"/>
          <w:sz w:val="32"/>
          <w:szCs w:val="32"/>
          <w:lang w:val="en-US"/>
        </w:rPr>
        <w:t>AN-GNNGC-DVANC-F N</w:t>
      </w:r>
      <w:r w:rsidRPr="00114701">
        <w:rPr>
          <w:rFonts w:eastAsia="Times New Roman"/>
          <w:b/>
          <w:bCs/>
          <w:color w:val="000000"/>
          <w:spacing w:val="-6"/>
          <w:sz w:val="32"/>
          <w:szCs w:val="32"/>
          <w:lang w:val="en-US"/>
        </w:rPr>
        <w:t>°-006/12</w:t>
      </w:r>
    </w:p>
    <w:p w:rsidR="00F95C1C" w:rsidRDefault="00F95C1C">
      <w:pPr>
        <w:shd w:val="clear" w:color="auto" w:fill="FFFFFF"/>
        <w:spacing w:before="163" w:line="264" w:lineRule="exact"/>
        <w:ind w:left="2678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A:     Gerencias Regionales</w:t>
      </w:r>
    </w:p>
    <w:p w:rsidR="00F95C1C" w:rsidRDefault="00F95C1C">
      <w:pPr>
        <w:shd w:val="clear" w:color="auto" w:fill="FFFFFF"/>
        <w:spacing w:line="264" w:lineRule="exact"/>
        <w:ind w:left="3221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Administraciones de Aduana</w:t>
      </w:r>
    </w:p>
    <w:p w:rsidR="00F95C1C" w:rsidRDefault="00F95C1C">
      <w:pPr>
        <w:shd w:val="clear" w:color="auto" w:fill="FFFFFF"/>
        <w:spacing w:line="264" w:lineRule="exact"/>
        <w:ind w:left="3226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ámara Nacional de Despachantes de Aduana</w:t>
      </w:r>
    </w:p>
    <w:p w:rsidR="00F95C1C" w:rsidRDefault="00F95C1C">
      <w:pPr>
        <w:shd w:val="clear" w:color="auto" w:fill="FFFFFF"/>
        <w:spacing w:before="5" w:line="264" w:lineRule="exact"/>
        <w:ind w:left="3221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ámara Nacional de Industrias</w:t>
      </w:r>
    </w:p>
    <w:p w:rsidR="00F95C1C" w:rsidRDefault="00F95C1C">
      <w:pPr>
        <w:shd w:val="clear" w:color="auto" w:fill="FFFFFF"/>
        <w:spacing w:line="264" w:lineRule="exact"/>
        <w:ind w:left="3221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ámara Nacional de Comercio</w:t>
      </w:r>
    </w:p>
    <w:p w:rsidR="00F95C1C" w:rsidRDefault="00F95C1C">
      <w:pPr>
        <w:shd w:val="clear" w:color="auto" w:fill="FFFFFF"/>
        <w:spacing w:line="264" w:lineRule="exact"/>
        <w:ind w:left="3221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ámara Nacional de Exportadores</w:t>
      </w:r>
    </w:p>
    <w:p w:rsidR="00F95C1C" w:rsidRDefault="00F95C1C">
      <w:pPr>
        <w:shd w:val="clear" w:color="auto" w:fill="FFFFFF"/>
        <w:spacing w:line="264" w:lineRule="exact"/>
        <w:ind w:left="3221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Operadores de Comercio Exterior</w:t>
      </w:r>
    </w:p>
    <w:p w:rsidR="00F95C1C" w:rsidRDefault="00F95C1C">
      <w:pPr>
        <w:shd w:val="clear" w:color="auto" w:fill="FFFFFF"/>
        <w:spacing w:before="269" w:line="259" w:lineRule="exact"/>
        <w:ind w:left="3206" w:right="1843" w:hanging="749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De:       Abog. Alberto Pozo Pe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es-ES_tradnl"/>
        </w:rPr>
        <w:t xml:space="preserve">ñaranda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Gerente General a.i.</w:t>
      </w:r>
    </w:p>
    <w:p w:rsidR="00F95C1C" w:rsidRDefault="00F95C1C">
      <w:pPr>
        <w:shd w:val="clear" w:color="auto" w:fill="FFFFFF"/>
        <w:tabs>
          <w:tab w:val="left" w:pos="4507"/>
        </w:tabs>
        <w:spacing w:before="312"/>
        <w:ind w:left="2160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Fecha:      La Paz,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w w:val="74"/>
          <w:sz w:val="24"/>
          <w:szCs w:val="24"/>
          <w:lang w:val="es-ES_tradnl"/>
        </w:rPr>
        <w:t xml:space="preserve">2 </w:t>
      </w:r>
      <w:r>
        <w:rPr>
          <w:color w:val="000000"/>
          <w:w w:val="74"/>
          <w:sz w:val="24"/>
          <w:szCs w:val="24"/>
          <w:lang w:val="es-ES_tradnl"/>
        </w:rPr>
        <w:t>0 SEP 2012</w:t>
      </w:r>
    </w:p>
    <w:p w:rsidR="00F95C1C" w:rsidRDefault="00F95C1C">
      <w:pPr>
        <w:shd w:val="clear" w:color="auto" w:fill="FFFFFF"/>
        <w:spacing w:before="197" w:line="264" w:lineRule="exact"/>
        <w:ind w:left="3211" w:right="269" w:hanging="792"/>
        <w:jc w:val="both"/>
      </w:pPr>
      <w:r>
        <w:rPr>
          <w:b/>
          <w:bCs/>
          <w:color w:val="000000"/>
          <w:sz w:val="24"/>
          <w:szCs w:val="24"/>
          <w:lang w:val="es-ES_tradnl"/>
        </w:rPr>
        <w:t xml:space="preserve">Ref: Documentos que certifican las operaciones de </w:t>
      </w:r>
      <w:r>
        <w:rPr>
          <w:b/>
          <w:bCs/>
          <w:color w:val="000000"/>
          <w:spacing w:val="-3"/>
          <w:sz w:val="24"/>
          <w:szCs w:val="24"/>
          <w:lang w:val="es-ES_tradnl"/>
        </w:rPr>
        <w:t xml:space="preserve">compra y venta de bienes y servicios a partir de </w:t>
      </w:r>
      <w:r>
        <w:rPr>
          <w:b/>
          <w:bCs/>
          <w:color w:val="000000"/>
          <w:spacing w:val="-4"/>
          <w:sz w:val="24"/>
          <w:szCs w:val="24"/>
          <w:lang w:val="es-ES_tradnl"/>
        </w:rPr>
        <w:t>los 50.000 Bs. emitidos por entidades financieras</w:t>
      </w:r>
    </w:p>
    <w:p w:rsidR="00F95C1C" w:rsidRDefault="00F95C1C">
      <w:pPr>
        <w:shd w:val="clear" w:color="auto" w:fill="FFFFFF"/>
        <w:spacing w:before="259"/>
        <w:ind w:left="2333"/>
      </w:pPr>
      <w:r>
        <w:rPr>
          <w:color w:val="000000"/>
          <w:lang w:val="es-ES_tradnl"/>
        </w:rPr>
        <w:t>No P</w:t>
      </w:r>
      <w:r>
        <w:rPr>
          <w:rFonts w:eastAsia="Times New Roman"/>
          <w:color w:val="000000"/>
          <w:lang w:val="es-ES_tradnl"/>
        </w:rPr>
        <w:t>áginas:   2 (Dos)</w:t>
      </w:r>
    </w:p>
    <w:p w:rsidR="00F95C1C" w:rsidRDefault="00F95C1C">
      <w:pPr>
        <w:shd w:val="clear" w:color="auto" w:fill="FFFFFF"/>
        <w:spacing w:before="254"/>
        <w:ind w:left="48"/>
      </w:pPr>
      <w:r>
        <w:rPr>
          <w:b/>
          <w:bCs/>
          <w:color w:val="000000"/>
          <w:spacing w:val="-3"/>
          <w:sz w:val="16"/>
          <w:szCs w:val="16"/>
          <w:lang w:val="es-ES_tradnl"/>
        </w:rPr>
        <w:t>SI USTED NO RECIBE TODAS LAS PAGINAS O SI ESTAS NO SON LEGIBLES POR FAVOR CONTACTE A 2128008</w:t>
      </w:r>
    </w:p>
    <w:p w:rsidR="00F95C1C" w:rsidRDefault="00F95C1C">
      <w:pPr>
        <w:shd w:val="clear" w:color="auto" w:fill="FFFFFF"/>
        <w:ind w:left="10"/>
        <w:jc w:val="center"/>
      </w:pPr>
      <w:r>
        <w:rPr>
          <w:b/>
          <w:bCs/>
          <w:color w:val="000000"/>
          <w:sz w:val="16"/>
          <w:szCs w:val="16"/>
          <w:lang w:val="es-ES_tradnl"/>
        </w:rPr>
        <w:t>Int1201</w:t>
      </w:r>
    </w:p>
    <w:p w:rsidR="00F95C1C" w:rsidRDefault="00F95C1C">
      <w:pPr>
        <w:shd w:val="clear" w:color="auto" w:fill="FFFFFF"/>
        <w:spacing w:before="470" w:line="264" w:lineRule="exact"/>
        <w:ind w:left="14"/>
        <w:jc w:val="both"/>
      </w:pPr>
      <w:r>
        <w:rPr>
          <w:color w:val="000000"/>
          <w:sz w:val="24"/>
          <w:szCs w:val="24"/>
          <w:lang w:val="es-ES_tradnl"/>
        </w:rPr>
        <w:t>De acuerdo a lo se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ñalado en la nota ASFI/DNP/R-905 51/2012 respecto a los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documentos emitidos por las entidades financieras al amparo del Decreto Supremo N° 772, la Autoridad de Supervisión del Sistema Financiero A.S.F.I. proporcionó a las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entidades de intermediación financiera el formato de Certificado que respalda las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operaciones de compra y venta de bienes y servicios a partir de Bs. 50.000 (Cincuenta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mil 00/100 Bolivianos), el mismo que debe ser emitido a solicitud expresa del usuario o cliente interesado en los casos de ausencia de los referidos documentos de pago.</w:t>
      </w:r>
    </w:p>
    <w:p w:rsidR="00F95C1C" w:rsidRDefault="00F95C1C">
      <w:pPr>
        <w:shd w:val="clear" w:color="auto" w:fill="FFFFFF"/>
        <w:spacing w:before="250" w:line="259" w:lineRule="exact"/>
        <w:ind w:right="10"/>
        <w:jc w:val="both"/>
      </w:pPr>
      <w:r>
        <w:rPr>
          <w:color w:val="000000"/>
          <w:spacing w:val="-1"/>
          <w:sz w:val="24"/>
          <w:szCs w:val="24"/>
          <w:lang w:val="es-ES_tradnl"/>
        </w:rPr>
        <w:t xml:space="preserve">En ese sentido, y en el marco de las competencias de la Aduana Nacional, atendiendo </w:t>
      </w:r>
      <w:r>
        <w:rPr>
          <w:color w:val="000000"/>
          <w:spacing w:val="-3"/>
          <w:sz w:val="24"/>
          <w:szCs w:val="24"/>
          <w:lang w:val="es-ES_tradnl"/>
        </w:rPr>
        <w:t>las indicaciones efectuadas por la A.S.F.I., se aclara que conforme se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ñala la Resolución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de Directorio RD 01-002-12, "Reglamento para el Despacho Aduanero de los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Regímenes de Exportación Definitiva e Importación a Consumo, en Aplicación a D.S.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772 de 19/01/2011", los certificados o documentos emitidos por las entidades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financieras Ejem: voucher, swift bancario, comprobante de depósito, cartas de crédito, entre otros, deberán ser registrados en la página de documentos adicionales de la DUI o DUEs en el código C71 "Certificado o documento de Entidades Financieras", el cual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certifique 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 xml:space="preserve">el pago efectuado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del comprador al vendedor. Cuando no corresponda la </w:t>
      </w:r>
      <w:r>
        <w:rPr>
          <w:rFonts w:eastAsia="Times New Roman"/>
          <w:color w:val="000000"/>
          <w:sz w:val="24"/>
          <w:szCs w:val="24"/>
          <w:lang w:val="es-ES_tradnl"/>
        </w:rPr>
        <w:t>presentación del certificado o documento emitido por la entidad de intermediación</w:t>
      </w:r>
    </w:p>
    <w:p w:rsidR="00F95C1C" w:rsidRDefault="00F95C1C">
      <w:pPr>
        <w:shd w:val="clear" w:color="auto" w:fill="FFFFFF"/>
        <w:spacing w:before="250" w:line="259" w:lineRule="exact"/>
        <w:ind w:right="10"/>
        <w:jc w:val="both"/>
        <w:sectPr w:rsidR="00F95C1C">
          <w:type w:val="continuous"/>
          <w:pgSz w:w="12269" w:h="15883"/>
          <w:pgMar w:top="2890" w:right="2040" w:bottom="1536" w:left="1925" w:header="720" w:footer="720" w:gutter="0"/>
          <w:cols w:space="60"/>
          <w:noEndnote/>
        </w:sectPr>
      </w:pPr>
    </w:p>
    <w:p w:rsidR="00F95C1C" w:rsidRDefault="00F95C1C">
      <w:pPr>
        <w:shd w:val="clear" w:color="auto" w:fill="FFFFFF"/>
        <w:spacing w:line="269" w:lineRule="exact"/>
        <w:ind w:left="10"/>
        <w:jc w:val="both"/>
      </w:pPr>
      <w:r>
        <w:rPr>
          <w:color w:val="000000"/>
          <w:spacing w:val="-2"/>
          <w:sz w:val="24"/>
          <w:szCs w:val="24"/>
          <w:lang w:val="es-ES_tradnl"/>
        </w:rPr>
        <w:lastRenderedPageBreak/>
        <w:t>financiera debido a la naturaleza de la operaci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ón, deberá consignar en la página de </w:t>
      </w:r>
      <w:r>
        <w:rPr>
          <w:rFonts w:eastAsia="Times New Roman"/>
          <w:color w:val="000000"/>
          <w:sz w:val="24"/>
          <w:szCs w:val="24"/>
          <w:lang w:val="es-ES_tradnl"/>
        </w:rPr>
        <w:t>documentos adicionales de la DUE ó DUI la expresión "N/A".</w:t>
      </w:r>
    </w:p>
    <w:p w:rsidR="00F95C1C" w:rsidRDefault="00F95C1C">
      <w:pPr>
        <w:shd w:val="clear" w:color="auto" w:fill="FFFFFF"/>
        <w:spacing w:before="264" w:line="259" w:lineRule="exact"/>
        <w:ind w:left="5"/>
        <w:jc w:val="both"/>
      </w:pPr>
      <w:r>
        <w:rPr>
          <w:color w:val="000000"/>
          <w:spacing w:val="-1"/>
          <w:sz w:val="24"/>
          <w:szCs w:val="24"/>
          <w:lang w:val="es-ES_tradnl"/>
        </w:rPr>
        <w:t>En tanto que en el c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ódigo C60 "Forma de Pago de la Transacción" corresponderá su registro en aquellos casos en los cuales en aplicación del Régimen de Exportación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Definitiva la forma de pago no pueda ser acreditada a través de un documento emitido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por la entidad financiera debido a que no existe un pago efectuado al momento del </w:t>
      </w:r>
      <w:r>
        <w:rPr>
          <w:rFonts w:eastAsia="Times New Roman"/>
          <w:color w:val="000000"/>
          <w:sz w:val="24"/>
          <w:szCs w:val="24"/>
          <w:lang w:val="es-ES_tradnl"/>
        </w:rPr>
        <w:t>despacho aduanero.</w:t>
      </w:r>
    </w:p>
    <w:p w:rsidR="00F95C1C" w:rsidRDefault="00F95C1C">
      <w:pPr>
        <w:shd w:val="clear" w:color="auto" w:fill="FFFFFF"/>
        <w:spacing w:before="269" w:line="259" w:lineRule="exact"/>
        <w:ind w:left="5" w:right="14"/>
        <w:jc w:val="both"/>
      </w:pPr>
      <w:r>
        <w:rPr>
          <w:color w:val="000000"/>
          <w:spacing w:val="-3"/>
          <w:sz w:val="24"/>
          <w:szCs w:val="24"/>
          <w:lang w:val="es-ES_tradnl"/>
        </w:rPr>
        <w:t xml:space="preserve">Las Gerencias Regionales y Administraciones de Aduana quedan encargadas de su </w:t>
      </w:r>
      <w:r>
        <w:rPr>
          <w:color w:val="000000"/>
          <w:sz w:val="24"/>
          <w:szCs w:val="24"/>
          <w:lang w:val="es-ES_tradnl"/>
        </w:rPr>
        <w:t>cumplimiento.</w:t>
      </w:r>
    </w:p>
    <w:p w:rsidR="00F95C1C" w:rsidRDefault="00F95C1C">
      <w:pPr>
        <w:shd w:val="clear" w:color="auto" w:fill="FFFFFF"/>
        <w:tabs>
          <w:tab w:val="left" w:pos="7411"/>
        </w:tabs>
        <w:spacing w:before="259"/>
        <w:ind w:left="10"/>
      </w:pPr>
      <w:r>
        <w:rPr>
          <w:color w:val="000000"/>
          <w:spacing w:val="-4"/>
          <w:sz w:val="24"/>
          <w:szCs w:val="24"/>
          <w:lang w:val="es-ES_tradnl"/>
        </w:rPr>
        <w:t>Con este motivo saludos a ustedes atentamente.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</w:p>
    <w:sectPr w:rsidR="00F95C1C">
      <w:pgSz w:w="12322" w:h="15926"/>
      <w:pgMar w:top="2798" w:right="2050" w:bottom="9677" w:left="19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01"/>
    <w:rsid w:val="00114701"/>
    <w:rsid w:val="00526AB2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2017-05-05T15:57:00Z</dcterms:created>
  <dcterms:modified xsi:type="dcterms:W3CDTF">2017-05-05T15:57:00Z</dcterms:modified>
</cp:coreProperties>
</file>