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9" w:rsidRPr="000A55DF" w:rsidRDefault="00043029" w:rsidP="000A55DF">
      <w:pPr>
        <w:shd w:val="clear" w:color="auto" w:fill="FFFFFF"/>
        <w:tabs>
          <w:tab w:val="left" w:pos="3994"/>
        </w:tabs>
        <w:rPr>
          <w:lang w:val="en-US"/>
        </w:rPr>
      </w:pPr>
      <w:bookmarkStart w:id="0" w:name="_GoBack"/>
      <w:bookmarkEnd w:id="0"/>
      <w:r w:rsidRPr="000A55DF">
        <w:rPr>
          <w:rFonts w:ascii="Arial" w:cs="Arial"/>
          <w:b/>
          <w:bCs/>
          <w:color w:val="000000"/>
          <w:sz w:val="18"/>
          <w:szCs w:val="18"/>
          <w:lang w:val="en-US"/>
        </w:rPr>
        <w:tab/>
      </w:r>
    </w:p>
    <w:p w:rsidR="000A55DF" w:rsidRDefault="000A55DF">
      <w:pPr>
        <w:shd w:val="clear" w:color="auto" w:fill="FFFFFF"/>
        <w:spacing w:before="62"/>
        <w:ind w:left="53"/>
        <w:jc w:val="center"/>
        <w:rPr>
          <w:b/>
          <w:color w:val="000000"/>
          <w:spacing w:val="-1"/>
          <w:sz w:val="28"/>
          <w:szCs w:val="28"/>
          <w:lang w:val="en-US"/>
        </w:rPr>
      </w:pPr>
      <w:r>
        <w:rPr>
          <w:b/>
          <w:color w:val="000000"/>
          <w:spacing w:val="-1"/>
          <w:sz w:val="28"/>
          <w:szCs w:val="28"/>
          <w:lang w:val="en-US"/>
        </w:rPr>
        <w:t>FAX</w:t>
      </w:r>
    </w:p>
    <w:p w:rsidR="00043029" w:rsidRPr="000A55DF" w:rsidRDefault="00043029">
      <w:pPr>
        <w:shd w:val="clear" w:color="auto" w:fill="FFFFFF"/>
        <w:spacing w:before="62"/>
        <w:ind w:left="53"/>
        <w:jc w:val="center"/>
        <w:rPr>
          <w:b/>
          <w:lang w:val="en-US"/>
        </w:rPr>
      </w:pPr>
      <w:r w:rsidRPr="000A55DF">
        <w:rPr>
          <w:b/>
          <w:color w:val="000000"/>
          <w:spacing w:val="-1"/>
          <w:sz w:val="28"/>
          <w:szCs w:val="28"/>
          <w:lang w:val="en-US"/>
        </w:rPr>
        <w:t>AN-GNNGC-DVANC-F003/07</w:t>
      </w:r>
    </w:p>
    <w:p w:rsidR="00043029" w:rsidRDefault="00043029">
      <w:pPr>
        <w:shd w:val="clear" w:color="auto" w:fill="FFFFFF"/>
        <w:spacing w:before="518" w:line="274" w:lineRule="exact"/>
        <w:ind w:left="3446" w:right="432" w:hanging="374"/>
        <w:jc w:val="both"/>
      </w:pPr>
      <w:r>
        <w:rPr>
          <w:color w:val="000000"/>
          <w:spacing w:val="-4"/>
          <w:sz w:val="24"/>
          <w:szCs w:val="24"/>
          <w:lang w:val="es-ES_tradnl"/>
        </w:rPr>
        <w:t xml:space="preserve">A: </w:t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ámara Nacional de Despachantes de Aduana,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Cámaras Regionales de Despachantes de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 xml:space="preserve">Aduana, Gerentes Regionales, Administradores 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de Aduana, Valoradores Regionales.</w:t>
      </w:r>
    </w:p>
    <w:p w:rsidR="000A55DF" w:rsidRDefault="000A55DF" w:rsidP="000A55DF">
      <w:pPr>
        <w:shd w:val="clear" w:color="auto" w:fill="FFFFFF"/>
        <w:tabs>
          <w:tab w:val="left" w:pos="4920"/>
        </w:tabs>
        <w:spacing w:line="274" w:lineRule="exact"/>
        <w:ind w:right="1766"/>
        <w:rPr>
          <w:color w:val="000000"/>
          <w:spacing w:val="-1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 xml:space="preserve">                               </w:t>
      </w:r>
    </w:p>
    <w:p w:rsidR="000A55DF" w:rsidRDefault="000A55DF" w:rsidP="000A55DF">
      <w:pPr>
        <w:shd w:val="clear" w:color="auto" w:fill="FFFFFF"/>
        <w:tabs>
          <w:tab w:val="left" w:pos="4920"/>
        </w:tabs>
        <w:spacing w:line="274" w:lineRule="exact"/>
        <w:ind w:right="1766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 xml:space="preserve">                               </w:t>
      </w:r>
      <w:r w:rsidR="00043029">
        <w:rPr>
          <w:color w:val="000000"/>
          <w:spacing w:val="-1"/>
          <w:sz w:val="24"/>
          <w:szCs w:val="24"/>
          <w:lang w:val="es-ES_tradnl"/>
        </w:rPr>
        <w:t>De: Lie. Javier Navarro Gonz</w:t>
      </w:r>
      <w:r w:rsidR="00043029">
        <w:rPr>
          <w:rFonts w:eastAsia="Times New Roman"/>
          <w:color w:val="000000"/>
          <w:spacing w:val="-1"/>
          <w:sz w:val="24"/>
          <w:szCs w:val="24"/>
          <w:lang w:val="es-ES_tradnl"/>
        </w:rPr>
        <w:t>ález.</w:t>
      </w:r>
    </w:p>
    <w:p w:rsidR="000A55DF" w:rsidRDefault="000A55DF" w:rsidP="000A55DF">
      <w:pPr>
        <w:shd w:val="clear" w:color="auto" w:fill="FFFFFF"/>
        <w:tabs>
          <w:tab w:val="left" w:pos="4920"/>
        </w:tabs>
        <w:spacing w:line="274" w:lineRule="exact"/>
        <w:ind w:right="1766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 xml:space="preserve">                                   </w:t>
      </w:r>
      <w:r w:rsidR="00043029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Gerente Nacional de Normas a.i.</w:t>
      </w:r>
      <w:r w:rsidR="00043029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br/>
      </w:r>
    </w:p>
    <w:p w:rsidR="000A55DF" w:rsidRDefault="000A55DF" w:rsidP="000A55DF">
      <w:pPr>
        <w:shd w:val="clear" w:color="auto" w:fill="FFFFFF"/>
        <w:tabs>
          <w:tab w:val="left" w:pos="4920"/>
        </w:tabs>
        <w:spacing w:line="274" w:lineRule="exact"/>
        <w:ind w:right="1766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 xml:space="preserve">                           </w:t>
      </w:r>
      <w:r w:rsidR="00043029">
        <w:rPr>
          <w:rFonts w:eastAsia="Times New Roman"/>
          <w:color w:val="000000"/>
          <w:sz w:val="24"/>
          <w:szCs w:val="24"/>
          <w:lang w:val="es-ES_tradnl"/>
        </w:rPr>
        <w:t>Fax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="00043029">
        <w:rPr>
          <w:rFonts w:eastAsia="Times New Roman"/>
          <w:color w:val="000000"/>
          <w:sz w:val="24"/>
          <w:szCs w:val="24"/>
          <w:lang w:val="es-ES_tradnl"/>
        </w:rPr>
        <w:t>N</w:t>
      </w:r>
      <w:r w:rsidR="00043029">
        <w:rPr>
          <w:rFonts w:eastAsia="Times New Roman"/>
          <w:color w:val="000000"/>
          <w:sz w:val="24"/>
          <w:szCs w:val="24"/>
          <w:vertAlign w:val="superscript"/>
          <w:lang w:val="es-ES_tradnl"/>
        </w:rPr>
        <w:t>0</w:t>
      </w:r>
      <w:r w:rsidR="00043029">
        <w:rPr>
          <w:rFonts w:eastAsia="Times New Roman"/>
          <w:color w:val="000000"/>
          <w:sz w:val="24"/>
          <w:szCs w:val="24"/>
          <w:lang w:val="es-ES_tradnl"/>
        </w:rPr>
        <w:t>: 2152906</w:t>
      </w:r>
    </w:p>
    <w:p w:rsidR="00043029" w:rsidRDefault="00043029" w:rsidP="000A55DF">
      <w:pPr>
        <w:shd w:val="clear" w:color="auto" w:fill="FFFFFF"/>
        <w:tabs>
          <w:tab w:val="left" w:pos="4920"/>
        </w:tabs>
        <w:spacing w:line="274" w:lineRule="exact"/>
        <w:ind w:right="1766"/>
      </w:pPr>
      <w:r>
        <w:rPr>
          <w:rFonts w:ascii="Arial" w:eastAsia="Times New Roman" w:cs="Arial"/>
          <w:color w:val="000000"/>
          <w:sz w:val="24"/>
          <w:szCs w:val="24"/>
          <w:lang w:val="es-ES_tradnl"/>
        </w:rPr>
        <w:tab/>
      </w:r>
    </w:p>
    <w:p w:rsidR="000A55DF" w:rsidRDefault="00043029">
      <w:pPr>
        <w:shd w:val="clear" w:color="auto" w:fill="FFFFFF"/>
        <w:spacing w:line="274" w:lineRule="exact"/>
        <w:ind w:left="1934" w:right="883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Fecha: La Paz, </w:t>
      </w:r>
      <w:r w:rsidR="000A55DF">
        <w:rPr>
          <w:color w:val="000000"/>
          <w:sz w:val="24"/>
          <w:szCs w:val="24"/>
          <w:lang w:val="es-ES_tradnl"/>
        </w:rPr>
        <w:t>17 01 2007</w:t>
      </w:r>
    </w:p>
    <w:p w:rsidR="000A55DF" w:rsidRDefault="000A55DF">
      <w:pPr>
        <w:shd w:val="clear" w:color="auto" w:fill="FFFFFF"/>
        <w:spacing w:line="274" w:lineRule="exact"/>
        <w:ind w:left="1934" w:right="883"/>
        <w:rPr>
          <w:color w:val="000000"/>
          <w:sz w:val="24"/>
          <w:szCs w:val="24"/>
          <w:lang w:val="es-ES_tradnl"/>
        </w:rPr>
      </w:pPr>
    </w:p>
    <w:p w:rsidR="00043029" w:rsidRDefault="00043029">
      <w:pPr>
        <w:shd w:val="clear" w:color="auto" w:fill="FFFFFF"/>
        <w:spacing w:line="274" w:lineRule="exact"/>
        <w:ind w:left="1934" w:right="883"/>
      </w:pPr>
      <w:r>
        <w:rPr>
          <w:color w:val="000000"/>
          <w:spacing w:val="-2"/>
          <w:sz w:val="24"/>
          <w:szCs w:val="24"/>
          <w:lang w:val="es-ES_tradnl"/>
        </w:rPr>
        <w:t xml:space="preserve">Ref.: </w:t>
      </w:r>
      <w:r>
        <w:rPr>
          <w:b/>
          <w:bCs/>
          <w:color w:val="000000"/>
          <w:spacing w:val="-2"/>
          <w:sz w:val="24"/>
          <w:szCs w:val="24"/>
          <w:lang w:val="es-ES_tradnl"/>
        </w:rPr>
        <w:t>Aclaraci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ón casilla de transmisión en FRV. </w:t>
      </w:r>
      <w:r>
        <w:rPr>
          <w:rFonts w:eastAsia="Times New Roman"/>
          <w:color w:val="000000"/>
          <w:sz w:val="24"/>
          <w:szCs w:val="24"/>
          <w:lang w:val="es-ES_tradnl"/>
        </w:rPr>
        <w:t>N° de Páginas:  1 (una)</w:t>
      </w:r>
    </w:p>
    <w:p w:rsidR="00043029" w:rsidRDefault="00043029">
      <w:pPr>
        <w:shd w:val="clear" w:color="auto" w:fill="FFFFFF"/>
        <w:spacing w:before="778"/>
        <w:ind w:left="58"/>
      </w:pPr>
      <w:r>
        <w:rPr>
          <w:color w:val="000000"/>
          <w:spacing w:val="-7"/>
          <w:sz w:val="24"/>
          <w:szCs w:val="24"/>
          <w:lang w:val="es-ES_tradnl"/>
        </w:rPr>
        <w:t>Se</w:t>
      </w:r>
      <w:r>
        <w:rPr>
          <w:rFonts w:eastAsia="Times New Roman"/>
          <w:color w:val="000000"/>
          <w:spacing w:val="-7"/>
          <w:sz w:val="24"/>
          <w:szCs w:val="24"/>
          <w:lang w:val="es-ES_tradnl"/>
        </w:rPr>
        <w:t>ñores:</w:t>
      </w:r>
    </w:p>
    <w:p w:rsidR="000A55DF" w:rsidRPr="000A55DF" w:rsidRDefault="000A55DF" w:rsidP="000A55DF">
      <w:pPr>
        <w:shd w:val="clear" w:color="auto" w:fill="FFFFFF"/>
        <w:spacing w:before="384" w:line="269" w:lineRule="exact"/>
        <w:ind w:left="43"/>
        <w:jc w:val="both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El FAX instructivo AN-GNNGC-DVANC-F002/07, en el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último párrafo del punto 1. </w:t>
      </w:r>
      <w:r w:rsidRPr="000A55DF">
        <w:rPr>
          <w:rFonts w:eastAsia="Times New Roman"/>
          <w:color w:val="000000"/>
          <w:sz w:val="24"/>
          <w:szCs w:val="24"/>
          <w:lang w:val="es-ES_tradnl"/>
        </w:rPr>
        <w:t>consigna como ejemplo en la casilla de transmisión el término AM para representar la transmisión manual siendo que debería decir "MT", por lo cual agradeceremos tomar nota de esta aclaración.</w:t>
      </w:r>
    </w:p>
    <w:p w:rsidR="00043029" w:rsidRDefault="000A55DF" w:rsidP="000A55DF">
      <w:pPr>
        <w:shd w:val="clear" w:color="auto" w:fill="FFFFFF"/>
        <w:spacing w:before="384" w:line="269" w:lineRule="exact"/>
        <w:ind w:left="43"/>
        <w:jc w:val="both"/>
      </w:pPr>
      <w:r w:rsidRPr="000A55DF">
        <w:rPr>
          <w:rFonts w:eastAsia="Times New Roman"/>
          <w:color w:val="000000"/>
          <w:sz w:val="24"/>
          <w:szCs w:val="24"/>
          <w:lang w:val="es-ES_tradnl"/>
        </w:rPr>
        <w:t>Con este motivo, aprovecho la oportunidad para saludar a ustedes atentamente.</w:t>
      </w:r>
    </w:p>
    <w:sectPr w:rsidR="00043029" w:rsidSect="000A55DF">
      <w:type w:val="continuous"/>
      <w:pgSz w:w="12274" w:h="15864"/>
      <w:pgMar w:top="2578" w:right="1954" w:bottom="2977" w:left="16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F"/>
    <w:rsid w:val="00043029"/>
    <w:rsid w:val="000A55DF"/>
    <w:rsid w:val="007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2017-05-05T15:47:00Z</dcterms:created>
  <dcterms:modified xsi:type="dcterms:W3CDTF">2017-05-05T15:47:00Z</dcterms:modified>
</cp:coreProperties>
</file>