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6B" w:rsidRPr="00E26F71" w:rsidRDefault="00D1576B" w:rsidP="00E26F71">
      <w:pPr>
        <w:shd w:val="clear" w:color="auto" w:fill="FFFFFF"/>
        <w:tabs>
          <w:tab w:val="left" w:pos="3451"/>
        </w:tabs>
        <w:spacing w:line="456" w:lineRule="exact"/>
        <w:ind w:left="427"/>
        <w:jc w:val="center"/>
        <w:rPr>
          <w:b/>
          <w:bCs/>
          <w:color w:val="000000"/>
          <w:sz w:val="28"/>
          <w:szCs w:val="22"/>
          <w:lang w:val="es-ES_tradnl"/>
        </w:rPr>
      </w:pPr>
      <w:bookmarkStart w:id="0" w:name="_GoBack"/>
      <w:bookmarkEnd w:id="0"/>
      <w:r w:rsidRPr="00E26F71">
        <w:rPr>
          <w:b/>
          <w:bCs/>
          <w:color w:val="000000"/>
          <w:sz w:val="28"/>
          <w:szCs w:val="22"/>
          <w:lang w:val="es-ES_tradnl"/>
        </w:rPr>
        <w:t>INSTRUCTIVO</w:t>
      </w:r>
    </w:p>
    <w:p w:rsidR="00D1576B" w:rsidRPr="00E26F71" w:rsidRDefault="00D1576B" w:rsidP="00E26F71">
      <w:pPr>
        <w:shd w:val="clear" w:color="auto" w:fill="FFFFFF"/>
        <w:tabs>
          <w:tab w:val="left" w:pos="3034"/>
        </w:tabs>
        <w:spacing w:before="10"/>
        <w:jc w:val="center"/>
        <w:rPr>
          <w:b/>
          <w:bCs/>
          <w:color w:val="000000"/>
          <w:sz w:val="28"/>
          <w:szCs w:val="22"/>
          <w:lang w:val="es-ES_tradnl"/>
        </w:rPr>
      </w:pPr>
      <w:r w:rsidRPr="00E26F71">
        <w:rPr>
          <w:b/>
          <w:bCs/>
          <w:color w:val="000000"/>
          <w:sz w:val="28"/>
          <w:szCs w:val="22"/>
          <w:lang w:val="es-ES_tradnl"/>
        </w:rPr>
        <w:t>AN-GNNGC-DVANC-F-</w:t>
      </w:r>
      <w:r w:rsidR="00E26F71" w:rsidRPr="00E26F71">
        <w:rPr>
          <w:b/>
          <w:bCs/>
          <w:color w:val="000000"/>
          <w:sz w:val="28"/>
          <w:szCs w:val="22"/>
          <w:lang w:val="es-ES_tradnl"/>
        </w:rPr>
        <w:t>00</w:t>
      </w:r>
      <w:r w:rsidRPr="00E26F71">
        <w:rPr>
          <w:b/>
          <w:bCs/>
          <w:color w:val="000000"/>
          <w:sz w:val="28"/>
          <w:szCs w:val="22"/>
          <w:lang w:val="es-ES_tradnl"/>
        </w:rPr>
        <w:t>l/06</w:t>
      </w:r>
    </w:p>
    <w:p w:rsidR="00D1576B" w:rsidRDefault="00D1576B">
      <w:pPr>
        <w:shd w:val="clear" w:color="auto" w:fill="FFFFFF"/>
        <w:spacing w:before="427"/>
        <w:ind w:left="3754"/>
      </w:pPr>
      <w:r>
        <w:rPr>
          <w:b/>
          <w:bCs/>
          <w:color w:val="000000"/>
          <w:sz w:val="22"/>
          <w:szCs w:val="22"/>
          <w:lang w:val="es-ES_tradnl"/>
        </w:rPr>
        <w:t>A:  Gerencias Regionales</w:t>
      </w:r>
    </w:p>
    <w:p w:rsidR="00D1576B" w:rsidRDefault="00D1576B">
      <w:pPr>
        <w:shd w:val="clear" w:color="auto" w:fill="FFFFFF"/>
        <w:spacing w:before="5" w:line="274" w:lineRule="exact"/>
        <w:ind w:left="4166" w:right="461"/>
        <w:rPr>
          <w:rFonts w:eastAsia="Times New Roman"/>
          <w:b/>
          <w:bCs/>
          <w:color w:val="000000"/>
          <w:sz w:val="22"/>
          <w:szCs w:val="22"/>
          <w:lang w:val="es-ES_tradnl"/>
        </w:rPr>
      </w:pPr>
      <w:r>
        <w:rPr>
          <w:b/>
          <w:bCs/>
          <w:color w:val="000000"/>
          <w:sz w:val="22"/>
          <w:szCs w:val="22"/>
          <w:lang w:val="es-ES_tradnl"/>
        </w:rPr>
        <w:t>Administraciones de Aduana C</w:t>
      </w:r>
      <w:r>
        <w:rPr>
          <w:rFonts w:eastAsia="Times New Roman"/>
          <w:b/>
          <w:bCs/>
          <w:color w:val="000000"/>
          <w:sz w:val="22"/>
          <w:szCs w:val="22"/>
          <w:lang w:val="es-ES_tradnl"/>
        </w:rPr>
        <w:t>ámara Nacional de Despachantes de Aduana</w:t>
      </w:r>
    </w:p>
    <w:p w:rsidR="00E26F71" w:rsidRDefault="00E26F71">
      <w:pPr>
        <w:shd w:val="clear" w:color="auto" w:fill="FFFFFF"/>
        <w:spacing w:before="5" w:line="274" w:lineRule="exact"/>
        <w:ind w:left="4166" w:right="461"/>
      </w:pPr>
    </w:p>
    <w:p w:rsidR="00E26F71" w:rsidRDefault="00D1576B" w:rsidP="00E26F71">
      <w:pPr>
        <w:shd w:val="clear" w:color="auto" w:fill="FFFFFF"/>
        <w:ind w:left="4171" w:right="1382" w:hanging="538"/>
        <w:rPr>
          <w:rFonts w:eastAsia="Times New Roman"/>
          <w:color w:val="000000"/>
          <w:sz w:val="22"/>
          <w:szCs w:val="22"/>
          <w:lang w:val="es-ES_tradnl"/>
        </w:rPr>
      </w:pPr>
      <w:r>
        <w:rPr>
          <w:b/>
          <w:bCs/>
          <w:color w:val="000000"/>
          <w:sz w:val="22"/>
          <w:szCs w:val="22"/>
          <w:lang w:val="es-ES_tradnl"/>
        </w:rPr>
        <w:t xml:space="preserve">De:  </w:t>
      </w:r>
      <w:r>
        <w:rPr>
          <w:color w:val="000000"/>
          <w:sz w:val="22"/>
          <w:szCs w:val="22"/>
          <w:lang w:val="es-ES_tradnl"/>
        </w:rPr>
        <w:t>Abog. David Rocha Calder</w:t>
      </w:r>
      <w:r>
        <w:rPr>
          <w:rFonts w:eastAsia="Times New Roman"/>
          <w:color w:val="000000"/>
          <w:sz w:val="22"/>
          <w:szCs w:val="22"/>
          <w:lang w:val="es-ES_tradnl"/>
        </w:rPr>
        <w:t xml:space="preserve">ón </w:t>
      </w:r>
    </w:p>
    <w:p w:rsidR="00D1576B" w:rsidRDefault="00D1576B" w:rsidP="00E26F71">
      <w:pPr>
        <w:shd w:val="clear" w:color="auto" w:fill="FFFFFF"/>
        <w:ind w:left="4171" w:right="1382"/>
      </w:pPr>
      <w:r>
        <w:rPr>
          <w:rFonts w:eastAsia="Times New Roman"/>
          <w:b/>
          <w:bCs/>
          <w:color w:val="000000"/>
          <w:sz w:val="22"/>
          <w:szCs w:val="22"/>
          <w:lang w:val="es-ES_tradnl"/>
        </w:rPr>
        <w:t>Gerente General a.i.</w:t>
      </w:r>
    </w:p>
    <w:p w:rsidR="00D1576B" w:rsidRDefault="00D1576B">
      <w:pPr>
        <w:shd w:val="clear" w:color="auto" w:fill="FFFFFF"/>
        <w:tabs>
          <w:tab w:val="left" w:pos="4814"/>
        </w:tabs>
        <w:spacing w:before="307"/>
        <w:ind w:left="3269"/>
      </w:pPr>
      <w:r>
        <w:rPr>
          <w:color w:val="000000"/>
          <w:w w:val="90"/>
          <w:sz w:val="24"/>
          <w:szCs w:val="24"/>
          <w:lang w:val="es-ES_tradnl"/>
        </w:rPr>
        <w:t>Fecha:</w:t>
      </w:r>
      <w:r>
        <w:rPr>
          <w:rFonts w:ascii="Arial" w:cs="Arial"/>
          <w:color w:val="000000"/>
          <w:sz w:val="24"/>
          <w:szCs w:val="24"/>
          <w:lang w:val="es-ES_tradnl"/>
        </w:rPr>
        <w:tab/>
      </w:r>
      <w:r>
        <w:rPr>
          <w:color w:val="000000"/>
          <w:spacing w:val="-10"/>
          <w:w w:val="90"/>
          <w:sz w:val="24"/>
          <w:szCs w:val="24"/>
          <w:lang w:val="es-ES_tradnl"/>
        </w:rPr>
        <w:t xml:space="preserve">1 8 </w:t>
      </w:r>
      <w:r w:rsidR="00E26F71">
        <w:rPr>
          <w:color w:val="000000"/>
          <w:spacing w:val="-10"/>
          <w:w w:val="90"/>
          <w:sz w:val="24"/>
          <w:szCs w:val="24"/>
          <w:lang w:val="es-ES_tradnl"/>
        </w:rPr>
        <w:t>ENE</w:t>
      </w:r>
      <w:r>
        <w:rPr>
          <w:color w:val="000000"/>
          <w:spacing w:val="-10"/>
          <w:w w:val="90"/>
          <w:sz w:val="24"/>
          <w:szCs w:val="24"/>
          <w:lang w:val="es-ES_tradnl"/>
        </w:rPr>
        <w:t xml:space="preserve"> 2006</w:t>
      </w:r>
    </w:p>
    <w:p w:rsidR="00D1576B" w:rsidRDefault="00D1576B">
      <w:pPr>
        <w:shd w:val="clear" w:color="auto" w:fill="FFFFFF"/>
        <w:spacing w:before="240" w:line="269" w:lineRule="exact"/>
        <w:ind w:left="2371" w:right="461"/>
      </w:pPr>
      <w:r>
        <w:rPr>
          <w:b/>
          <w:bCs/>
          <w:color w:val="000000"/>
          <w:sz w:val="22"/>
          <w:szCs w:val="22"/>
          <w:lang w:val="es-ES_tradnl"/>
        </w:rPr>
        <w:t>Ref.:  Valor en aduana. Aplicaci</w:t>
      </w:r>
      <w:r>
        <w:rPr>
          <w:rFonts w:eastAsia="Times New Roman"/>
          <w:b/>
          <w:bCs/>
          <w:color w:val="000000"/>
          <w:sz w:val="22"/>
          <w:szCs w:val="22"/>
          <w:lang w:val="es-ES_tradnl"/>
        </w:rPr>
        <w:t>ón de precios de referencia N° de Páginas:   2</w:t>
      </w:r>
    </w:p>
    <w:p w:rsidR="00E26F71" w:rsidRDefault="00E26F71">
      <w:pPr>
        <w:shd w:val="clear" w:color="auto" w:fill="FFFFFF"/>
        <w:spacing w:before="5"/>
        <w:ind w:left="864"/>
        <w:rPr>
          <w:color w:val="000000"/>
          <w:sz w:val="16"/>
          <w:szCs w:val="16"/>
          <w:lang w:val="es-ES_tradnl"/>
        </w:rPr>
      </w:pPr>
    </w:p>
    <w:p w:rsidR="00D1576B" w:rsidRDefault="00D1576B">
      <w:pPr>
        <w:shd w:val="clear" w:color="auto" w:fill="FFFFFF"/>
        <w:spacing w:before="5"/>
        <w:ind w:left="864"/>
      </w:pPr>
      <w:r>
        <w:rPr>
          <w:color w:val="000000"/>
          <w:sz w:val="16"/>
          <w:szCs w:val="16"/>
          <w:lang w:val="es-ES_tradnl"/>
        </w:rPr>
        <w:t>SI UD. NO RECIBE TODAS LAS PAGINAS O SI ESTAS NO SON L</w:t>
      </w:r>
      <w:r w:rsidR="002658D3">
        <w:rPr>
          <w:color w:val="000000"/>
          <w:sz w:val="16"/>
          <w:szCs w:val="16"/>
          <w:lang w:val="es-ES_tradnl"/>
        </w:rPr>
        <w:t>EGIBLES, POR FAVOR CONTACTE A :</w:t>
      </w:r>
    </w:p>
    <w:p w:rsidR="00D1576B" w:rsidRDefault="00D1576B">
      <w:pPr>
        <w:shd w:val="clear" w:color="auto" w:fill="FFFFFF"/>
        <w:ind w:left="120"/>
        <w:jc w:val="center"/>
      </w:pPr>
      <w:r>
        <w:rPr>
          <w:color w:val="000000"/>
          <w:sz w:val="16"/>
          <w:szCs w:val="16"/>
          <w:lang w:val="es-ES_tradnl"/>
        </w:rPr>
        <w:t>Tel</w:t>
      </w:r>
      <w:r>
        <w:rPr>
          <w:rFonts w:eastAsia="Times New Roman"/>
          <w:color w:val="000000"/>
          <w:sz w:val="16"/>
          <w:szCs w:val="16"/>
          <w:lang w:val="es-ES_tradnl"/>
        </w:rPr>
        <w:t>éfono/Phone: 2152906</w:t>
      </w:r>
    </w:p>
    <w:p w:rsidR="00D1576B" w:rsidRDefault="00D1576B">
      <w:pPr>
        <w:shd w:val="clear" w:color="auto" w:fill="FFFFFF"/>
        <w:spacing w:before="278"/>
        <w:ind w:left="125"/>
      </w:pPr>
      <w:r>
        <w:rPr>
          <w:color w:val="000000"/>
          <w:sz w:val="22"/>
          <w:szCs w:val="22"/>
          <w:lang w:val="es-ES_tradnl"/>
        </w:rPr>
        <w:t>Se</w:t>
      </w:r>
      <w:r>
        <w:rPr>
          <w:rFonts w:eastAsia="Times New Roman"/>
          <w:color w:val="000000"/>
          <w:sz w:val="22"/>
          <w:szCs w:val="22"/>
          <w:lang w:val="es-ES_tradnl"/>
        </w:rPr>
        <w:t>ñores:</w:t>
      </w:r>
    </w:p>
    <w:p w:rsidR="00D1576B" w:rsidRDefault="00D1576B">
      <w:pPr>
        <w:shd w:val="clear" w:color="auto" w:fill="FFFFFF"/>
        <w:spacing w:before="250" w:line="250" w:lineRule="exact"/>
        <w:ind w:left="115"/>
        <w:jc w:val="both"/>
      </w:pPr>
      <w:r>
        <w:rPr>
          <w:color w:val="000000"/>
          <w:sz w:val="22"/>
          <w:szCs w:val="22"/>
          <w:lang w:val="es-ES_tradnl"/>
        </w:rPr>
        <w:t>Complementando el FAX Instructivo N-GNNGC-DVANC-F-0013-05, conviene se</w:t>
      </w:r>
      <w:r>
        <w:rPr>
          <w:rFonts w:eastAsia="Times New Roman"/>
          <w:color w:val="000000"/>
          <w:sz w:val="22"/>
          <w:szCs w:val="22"/>
          <w:lang w:val="es-ES_tradnl"/>
        </w:rPr>
        <w:t xml:space="preserve">ñalar que las disposiciones establecidas en el Acuerdo sobre Valoración de la OMC, tienen por objeto establecer un sistema equitativo, uniforme y neutro de valoración en aduana de </w:t>
      </w:r>
      <w:r>
        <w:rPr>
          <w:rFonts w:eastAsia="Times New Roman"/>
          <w:color w:val="000000"/>
          <w:spacing w:val="17"/>
          <w:sz w:val="22"/>
          <w:szCs w:val="22"/>
          <w:lang w:val="es-ES_tradnl"/>
        </w:rPr>
        <w:t>las</w:t>
      </w:r>
      <w:r>
        <w:rPr>
          <w:rFonts w:eastAsia="Times New Roman"/>
          <w:color w:val="000000"/>
          <w:sz w:val="22"/>
          <w:szCs w:val="22"/>
          <w:lang w:val="es-ES_tradnl"/>
        </w:rPr>
        <w:t xml:space="preserve"> mercancías importadas, que se ajuste a las realidades comerciales de los importadores y que no permita la utilización de valores en aduana mínimos o valores arbitrarios o ficticios, evitando de esta manera, la discrecionalidad en la determinación del valor en aduana.</w:t>
      </w:r>
    </w:p>
    <w:p w:rsidR="00D1576B" w:rsidRDefault="00D1576B">
      <w:pPr>
        <w:shd w:val="clear" w:color="auto" w:fill="FFFFFF"/>
        <w:spacing w:before="250" w:line="250" w:lineRule="exact"/>
        <w:ind w:left="115"/>
        <w:jc w:val="both"/>
      </w:pPr>
      <w:r>
        <w:rPr>
          <w:color w:val="000000"/>
          <w:sz w:val="22"/>
          <w:szCs w:val="22"/>
          <w:lang w:val="es-ES_tradnl"/>
        </w:rPr>
        <w:t>El Art</w:t>
      </w:r>
      <w:r>
        <w:rPr>
          <w:rFonts w:eastAsia="Times New Roman"/>
          <w:color w:val="000000"/>
          <w:sz w:val="22"/>
          <w:szCs w:val="22"/>
          <w:lang w:val="es-ES_tradnl"/>
        </w:rPr>
        <w:t>ículo 252 del Decreto Supremo No. 25870 de 11 de agosto del 2000, determina que le corresponde al importador presentar la carga de la prueba cuando la administración aduanera le solicite los documentos e información necesaria para establecer que el valor en aduana declarado, corresponde al valor de la transacción y a las condiciones previstas en el Acuerdo de Valoración de la OMC.</w:t>
      </w:r>
    </w:p>
    <w:p w:rsidR="00D1576B" w:rsidRDefault="00D1576B">
      <w:pPr>
        <w:shd w:val="clear" w:color="auto" w:fill="FFFFFF"/>
        <w:spacing w:before="254" w:line="250" w:lineRule="exact"/>
        <w:ind w:left="115" w:right="10"/>
        <w:jc w:val="both"/>
      </w:pPr>
      <w:r>
        <w:rPr>
          <w:color w:val="000000"/>
          <w:sz w:val="22"/>
          <w:szCs w:val="22"/>
          <w:lang w:val="es-ES_tradnl"/>
        </w:rPr>
        <w:t>Las enmiendas al valor realizadas en los despachos aduaneros por montos no significativos, representan un gasto de recursos humanos, materiales y tiempo para la Administraci</w:t>
      </w:r>
      <w:r>
        <w:rPr>
          <w:rFonts w:eastAsia="Times New Roman"/>
          <w:color w:val="000000"/>
          <w:sz w:val="22"/>
          <w:szCs w:val="22"/>
          <w:lang w:val="es-ES_tradnl"/>
        </w:rPr>
        <w:t>ón de Aduana, los importadores y despachantes de aduana, por lo cual, tal gasto frente a los tributos recaudados no justifica un análisis COSTO/BENEFICIO.</w:t>
      </w:r>
    </w:p>
    <w:p w:rsidR="00D1576B" w:rsidRDefault="00D1576B">
      <w:pPr>
        <w:shd w:val="clear" w:color="auto" w:fill="FFFFFF"/>
        <w:spacing w:before="254" w:line="250" w:lineRule="exact"/>
        <w:ind w:left="115" w:right="10"/>
        <w:jc w:val="both"/>
        <w:sectPr w:rsidR="00D1576B">
          <w:type w:val="continuous"/>
          <w:pgSz w:w="12566" w:h="16094"/>
          <w:pgMar w:top="2011" w:right="1954" w:bottom="2942" w:left="1651" w:header="720" w:footer="720" w:gutter="0"/>
          <w:cols w:space="60"/>
          <w:noEndnote/>
        </w:sectPr>
      </w:pPr>
    </w:p>
    <w:p w:rsidR="00D1576B" w:rsidRDefault="00D1576B">
      <w:pPr>
        <w:shd w:val="clear" w:color="auto" w:fill="FFFFFF"/>
        <w:spacing w:line="250" w:lineRule="exact"/>
        <w:jc w:val="both"/>
      </w:pPr>
      <w:r>
        <w:rPr>
          <w:color w:val="000000"/>
          <w:sz w:val="22"/>
          <w:szCs w:val="22"/>
          <w:lang w:val="es-ES_tradnl"/>
        </w:rPr>
        <w:lastRenderedPageBreak/>
        <w:t xml:space="preserve">Asimismo, es importante recordar que </w:t>
      </w:r>
      <w:r>
        <w:rPr>
          <w:color w:val="000000"/>
          <w:spacing w:val="15"/>
          <w:sz w:val="22"/>
          <w:szCs w:val="22"/>
          <w:lang w:val="es-ES_tradnl"/>
        </w:rPr>
        <w:t>las</w:t>
      </w:r>
      <w:r>
        <w:rPr>
          <w:color w:val="000000"/>
          <w:sz w:val="22"/>
          <w:szCs w:val="22"/>
          <w:lang w:val="es-ES_tradnl"/>
        </w:rPr>
        <w:t xml:space="preserve"> administraciones aduaneras, no pueden rechazar el valor declarado, </w:t>
      </w:r>
      <w:r>
        <w:rPr>
          <w:rFonts w:eastAsia="Times New Roman"/>
          <w:color w:val="000000"/>
          <w:sz w:val="22"/>
          <w:szCs w:val="22"/>
          <w:lang w:val="es-ES_tradnl"/>
        </w:rPr>
        <w:t>únicamente sobre la base de una diferencia entre el valor declarado y el precio referencial. El precio referencial tiene un carácter indicativo, al constituirse en un dato inicial de orientación que ayuda a reforzar o disipar las dudas del funcionario aduanero sobre la veracidad o exactitud del valor declarado.</w:t>
      </w:r>
    </w:p>
    <w:p w:rsidR="00D1576B" w:rsidRDefault="00D1576B">
      <w:pPr>
        <w:shd w:val="clear" w:color="auto" w:fill="FFFFFF"/>
        <w:tabs>
          <w:tab w:val="left" w:pos="5640"/>
        </w:tabs>
        <w:spacing w:before="250"/>
        <w:ind w:left="5"/>
      </w:pPr>
      <w:r>
        <w:rPr>
          <w:color w:val="000000"/>
          <w:sz w:val="22"/>
          <w:szCs w:val="22"/>
          <w:lang w:val="es-ES_tradnl"/>
        </w:rPr>
        <w:t>Atentamente,</w:t>
      </w:r>
      <w:r>
        <w:rPr>
          <w:rFonts w:ascii="Arial" w:cs="Arial"/>
          <w:color w:val="000000"/>
          <w:sz w:val="22"/>
          <w:szCs w:val="22"/>
          <w:lang w:val="es-ES_tradnl"/>
        </w:rPr>
        <w:tab/>
      </w:r>
    </w:p>
    <w:sectPr w:rsidR="00D1576B">
      <w:pgSz w:w="12379" w:h="15955"/>
      <w:pgMar w:top="3158" w:right="1944" w:bottom="10766" w:left="158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71"/>
    <w:rsid w:val="002658D3"/>
    <w:rsid w:val="002C2788"/>
    <w:rsid w:val="00934247"/>
    <w:rsid w:val="00D1576B"/>
    <w:rsid w:val="00E26F7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Ticona Sanga</dc:creator>
  <cp:lastModifiedBy>Ruben Oswaldo Sempertegui Montes</cp:lastModifiedBy>
  <cp:revision>2</cp:revision>
  <dcterms:created xsi:type="dcterms:W3CDTF">2017-05-05T15:41:00Z</dcterms:created>
  <dcterms:modified xsi:type="dcterms:W3CDTF">2017-05-05T15:41:00Z</dcterms:modified>
</cp:coreProperties>
</file>